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206A" w14:textId="4892ADD6" w:rsidR="00BE4E63" w:rsidRDefault="00BE4E63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Karlsruhe, 2</w:t>
      </w:r>
      <w:r w:rsidR="003B4DA8">
        <w:rPr>
          <w:rFonts w:ascii="Tms Rmn" w:hAnsi="Tms Rmn" w:cs="Tms Rmn"/>
          <w:color w:val="000000"/>
          <w:sz w:val="24"/>
          <w:szCs w:val="24"/>
        </w:rPr>
        <w:t>2</w:t>
      </w:r>
      <w:r>
        <w:rPr>
          <w:rFonts w:ascii="Tms Rmn" w:hAnsi="Tms Rmn" w:cs="Tms Rmn"/>
          <w:color w:val="000000"/>
          <w:sz w:val="24"/>
          <w:szCs w:val="24"/>
        </w:rPr>
        <w:t>.01.2020</w:t>
      </w:r>
    </w:p>
    <w:p w14:paraId="3FB62644" w14:textId="77777777" w:rsidR="00BE4E63" w:rsidRDefault="00BE4E63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</w:p>
    <w:p w14:paraId="163D0637" w14:textId="263EE77B" w:rsidR="00D20C3F" w:rsidRDefault="00D20C3F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 w:rsidRPr="00BE4E63">
        <w:rPr>
          <w:rFonts w:ascii="Tms Rmn" w:hAnsi="Tms Rmn" w:cs="Tms Rmn"/>
          <w:b/>
          <w:bCs/>
          <w:color w:val="000000"/>
          <w:sz w:val="28"/>
          <w:szCs w:val="28"/>
        </w:rPr>
        <w:t>Liebe Mitglieder des Arbeitskreises GSE DB-Admin!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 w:rsidR="00473D86">
        <w:rPr>
          <w:rFonts w:ascii="Tms Rmn" w:hAnsi="Tms Rmn" w:cs="Tms Rmn"/>
          <w:color w:val="000000"/>
          <w:sz w:val="24"/>
          <w:szCs w:val="24"/>
        </w:rPr>
        <w:t>Hiermit lade ich zu der Frühjahrsveranstaltung unseres Arbeitskreises ein. Hier die Daten:</w:t>
      </w:r>
    </w:p>
    <w:p w14:paraId="33C4280E" w14:textId="2526C7D1" w:rsidR="00473D86" w:rsidRP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>Datum:</w:t>
      </w: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ab/>
        <w:t>18. – 19.03.2020</w:t>
      </w:r>
    </w:p>
    <w:p w14:paraId="5BCC6B86" w14:textId="7D6A9884" w:rsidR="00473D86" w:rsidRP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>Ort:</w:t>
      </w: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ab/>
        <w:t>Mannheim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, im „Best Western Plus Steubenhof Hotel“</w:t>
      </w:r>
    </w:p>
    <w:p w14:paraId="1F9D9961" w14:textId="2D98E638" w:rsid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>Anschrift:</w:t>
      </w: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ab/>
        <w:t>Best Western Plus Steubenhof Hotel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  <w:t>Steubenstraße 66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  <w:t>68199 Mannheim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  <w:t>Tel.: +49 (0)621-819 10-0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  <w:t xml:space="preserve">Web: </w:t>
      </w:r>
      <w:hyperlink r:id="rId7" w:history="1">
        <w:r w:rsidRPr="00355BCB">
          <w:rPr>
            <w:rStyle w:val="Hyperlink"/>
            <w:rFonts w:ascii="Tms Rmn" w:hAnsi="Tms Rmn" w:cs="Tms Rmn"/>
            <w:b/>
            <w:bCs/>
            <w:sz w:val="24"/>
            <w:szCs w:val="24"/>
          </w:rPr>
          <w:t>www.steubenhof.bestwestern.de</w:t>
        </w:r>
      </w:hyperlink>
    </w:p>
    <w:p w14:paraId="4F5BCF2E" w14:textId="77777777" w:rsidR="001C5B17" w:rsidRDefault="001C5B17" w:rsidP="001C5B17">
      <w:pPr>
        <w:pStyle w:val="Default"/>
        <w:rPr>
          <w:rFonts w:ascii="Tms Rmn" w:hAnsi="Tms Rmn" w:cs="Tms Rmn"/>
          <w:lang w:val="de-DE"/>
        </w:rPr>
      </w:pPr>
    </w:p>
    <w:p w14:paraId="19ABB668" w14:textId="642A8C78" w:rsidR="001C5B17" w:rsidRPr="001C5B17" w:rsidRDefault="001C5B17" w:rsidP="001C5B17">
      <w:pPr>
        <w:pStyle w:val="Default"/>
        <w:rPr>
          <w:rFonts w:ascii="Tms Rmn" w:hAnsi="Tms Rmn" w:cs="Tms Rmn"/>
          <w:b/>
          <w:bCs/>
          <w:lang w:val="de-DE"/>
        </w:rPr>
      </w:pPr>
      <w:r w:rsidRPr="001C5B17">
        <w:rPr>
          <w:rFonts w:ascii="Tms Rmn" w:hAnsi="Tms Rmn" w:cs="Tms Rmn"/>
          <w:b/>
          <w:bCs/>
          <w:lang w:val="de-DE"/>
        </w:rPr>
        <w:t>Anreise:</w:t>
      </w:r>
    </w:p>
    <w:p w14:paraId="08833472" w14:textId="02CFA351" w:rsidR="001C5B17" w:rsidRDefault="001C5B17" w:rsidP="001C5B17">
      <w:pPr>
        <w:pStyle w:val="Default"/>
        <w:rPr>
          <w:rFonts w:ascii="Tms Rmn" w:hAnsi="Tms Rmn" w:cs="Tms Rmn"/>
          <w:lang w:val="de-DE"/>
        </w:rPr>
      </w:pPr>
      <w:r w:rsidRPr="001C5B17">
        <w:rPr>
          <w:rFonts w:ascii="Tms Rmn" w:hAnsi="Tms Rmn" w:cs="Tms Rmn"/>
          <w:lang w:val="de-DE"/>
        </w:rPr>
        <w:t xml:space="preserve">Das Hotel ist </w:t>
      </w:r>
      <w:r>
        <w:rPr>
          <w:rFonts w:ascii="Tms Rmn" w:hAnsi="Tms Rmn" w:cs="Tms Rmn"/>
          <w:lang w:val="de-DE"/>
        </w:rPr>
        <w:t xml:space="preserve">vom Hauptbahnhof Mannheim aus </w:t>
      </w:r>
      <w:r w:rsidRPr="001C5B17">
        <w:rPr>
          <w:rFonts w:ascii="Tms Rmn" w:hAnsi="Tms Rmn" w:cs="Tms Rmn"/>
          <w:lang w:val="de-DE"/>
        </w:rPr>
        <w:t>mit der S</w:t>
      </w:r>
      <w:r>
        <w:rPr>
          <w:rFonts w:ascii="Tms Rmn" w:hAnsi="Tms Rmn" w:cs="Tms Rmn"/>
          <w:lang w:val="de-DE"/>
        </w:rPr>
        <w:t>traßenbahnlinie 3, Haltestelle „Freiheitsplatz“ mit öffentlichen Verkehrsmitteln zu erreichen. Im Hotel stehen bewachte Parkplätze in der Tiefgarage zum Preis von 9,-€/Nacht zur Verfügung.</w:t>
      </w:r>
    </w:p>
    <w:p w14:paraId="44E8F4BA" w14:textId="6E13CC86" w:rsidR="00D20C3F" w:rsidRDefault="001C5B17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 w:rsidRPr="001C5B17">
        <w:rPr>
          <w:rFonts w:ascii="Tms Rmn" w:hAnsi="Tms Rmn" w:cs="Tms Rmn"/>
          <w:b/>
          <w:bCs/>
          <w:color w:val="000000"/>
          <w:sz w:val="24"/>
          <w:szCs w:val="24"/>
        </w:rPr>
        <w:t>Zimmer:</w:t>
      </w:r>
      <w:r>
        <w:rPr>
          <w:rFonts w:ascii="Tms Rmn" w:hAnsi="Tms Rmn" w:cs="Tms Rmn"/>
          <w:color w:val="000000"/>
          <w:sz w:val="24"/>
          <w:szCs w:val="24"/>
        </w:rPr>
        <w:br/>
      </w:r>
      <w:r w:rsidR="001765E2">
        <w:rPr>
          <w:rFonts w:ascii="Tms Rmn" w:hAnsi="Tms Rmn" w:cs="Tms Rmn"/>
          <w:color w:val="000000"/>
          <w:sz w:val="24"/>
          <w:szCs w:val="24"/>
        </w:rPr>
        <w:t xml:space="preserve">Ein Abrufkontingent ist für den 18. auf den 19. eingerichtet und kann unter dem Stichwort </w:t>
      </w:r>
      <w:r w:rsidR="001765E2">
        <w:rPr>
          <w:rFonts w:ascii="Tms Rmn" w:hAnsi="Tms Rmn" w:cs="Tms Rmn"/>
          <w:color w:val="000000"/>
          <w:sz w:val="24"/>
          <w:szCs w:val="24"/>
        </w:rPr>
        <w:br/>
        <w:t xml:space="preserve">"GSE DB-Admin“ </w:t>
      </w:r>
      <w:r w:rsidR="001765E2" w:rsidRPr="001C5B17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bis zum 20. Februar 2020</w:t>
      </w:r>
      <w:r w:rsidR="001765E2">
        <w:rPr>
          <w:rFonts w:ascii="Tms Rmn" w:hAnsi="Tms Rmn" w:cs="Tms Rmn"/>
          <w:color w:val="000000"/>
          <w:sz w:val="24"/>
          <w:szCs w:val="24"/>
          <w:u w:val="single"/>
        </w:rPr>
        <w:t xml:space="preserve"> per </w:t>
      </w:r>
      <w:bookmarkStart w:id="0" w:name="_GoBack"/>
      <w:r w:rsidR="001765E2" w:rsidRPr="001765E2">
        <w:rPr>
          <w:rFonts w:ascii="Tms Rmn" w:hAnsi="Tms Rmn" w:cs="Tms Rmn"/>
          <w:b/>
          <w:color w:val="000000"/>
          <w:sz w:val="24"/>
          <w:szCs w:val="24"/>
          <w:u w:val="single"/>
        </w:rPr>
        <w:t>E</w:t>
      </w:r>
      <w:r w:rsidR="001765E2" w:rsidRPr="001765E2">
        <w:rPr>
          <w:rFonts w:ascii="Tms Rmn" w:hAnsi="Tms Rmn" w:cs="Tms Rmn"/>
          <w:b/>
          <w:color w:val="000000"/>
          <w:sz w:val="24"/>
          <w:szCs w:val="24"/>
          <w:u w:val="single"/>
        </w:rPr>
        <w:t>-M</w:t>
      </w:r>
      <w:r w:rsidR="001765E2" w:rsidRPr="001765E2">
        <w:rPr>
          <w:rFonts w:ascii="Tms Rmn" w:hAnsi="Tms Rmn" w:cs="Tms Rmn"/>
          <w:b/>
          <w:color w:val="000000"/>
          <w:sz w:val="24"/>
          <w:szCs w:val="24"/>
          <w:u w:val="single"/>
        </w:rPr>
        <w:t>ail</w:t>
      </w:r>
      <w:r w:rsidR="001765E2"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  <w:bookmarkEnd w:id="0"/>
      <w:r w:rsidR="001765E2">
        <w:rPr>
          <w:rFonts w:ascii="Tms Rmn" w:hAnsi="Tms Rmn" w:cs="Tms Rmn"/>
          <w:color w:val="000000"/>
          <w:sz w:val="24"/>
          <w:szCs w:val="24"/>
          <w:u w:val="single"/>
        </w:rPr>
        <w:t>(</w:t>
      </w:r>
      <w:hyperlink r:id="rId8" w:history="1">
        <w:r w:rsidR="001765E2" w:rsidRPr="003C7E54">
          <w:rPr>
            <w:rStyle w:val="Hyperlink"/>
            <w:rFonts w:ascii="Tms Rmn" w:hAnsi="Tms Rmn" w:cs="Tms Rmn"/>
            <w:b/>
            <w:bCs/>
            <w:sz w:val="24"/>
            <w:szCs w:val="24"/>
          </w:rPr>
          <w:t>steubenhof@ariva-hotel.de</w:t>
        </w:r>
      </w:hyperlink>
      <w:r w:rsidR="001765E2">
        <w:rPr>
          <w:rFonts w:ascii="Tms Rmn" w:hAnsi="Tms Rmn" w:cs="Tms Rmn"/>
          <w:color w:val="000000"/>
          <w:sz w:val="24"/>
          <w:szCs w:val="24"/>
        </w:rPr>
        <w:t>) abgerufen werden. Danach gehen die Zimmer in den freien Verkauf zurück. Das Zimmer inkl. Frühstück kostet 118,- Euro.</w:t>
      </w:r>
      <w:r w:rsidR="00D20C3F">
        <w:rPr>
          <w:rFonts w:ascii="Tms Rmn" w:hAnsi="Tms Rmn" w:cs="Tms Rmn"/>
          <w:color w:val="000000"/>
          <w:sz w:val="24"/>
          <w:szCs w:val="24"/>
        </w:rPr>
        <w:br/>
      </w:r>
      <w:r w:rsidR="00D20C3F">
        <w:rPr>
          <w:rFonts w:ascii="Tms Rmn" w:hAnsi="Tms Rmn" w:cs="Tms Rmn"/>
          <w:color w:val="000000"/>
          <w:sz w:val="24"/>
          <w:szCs w:val="24"/>
        </w:rPr>
        <w:br/>
        <w:t>Die Tagungspauschale für den ersten Tag (</w:t>
      </w:r>
      <w:r>
        <w:rPr>
          <w:rFonts w:ascii="Tms Rmn" w:hAnsi="Tms Rmn" w:cs="Tms Rmn"/>
          <w:color w:val="000000"/>
          <w:sz w:val="24"/>
          <w:szCs w:val="24"/>
        </w:rPr>
        <w:t>Tagungsraum +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Kaffeepausen) beträgt </w:t>
      </w:r>
      <w:r w:rsidR="00BE4E63">
        <w:rPr>
          <w:rFonts w:ascii="Tms Rmn" w:hAnsi="Tms Rmn" w:cs="Tms Rmn"/>
          <w:color w:val="000000"/>
          <w:sz w:val="24"/>
          <w:szCs w:val="24"/>
        </w:rPr>
        <w:t>33,50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Euro, für den zweiten Tag </w:t>
      </w:r>
      <w:r w:rsidR="00BE4E63">
        <w:rPr>
          <w:rFonts w:ascii="Tms Rmn" w:hAnsi="Tms Rmn" w:cs="Tms Rmn"/>
          <w:color w:val="000000"/>
          <w:sz w:val="24"/>
          <w:szCs w:val="24"/>
        </w:rPr>
        <w:t>(Tagungsraum +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Kaffeepause</w:t>
      </w:r>
      <w:r w:rsidR="00BE4E63">
        <w:rPr>
          <w:rFonts w:ascii="Tms Rmn" w:hAnsi="Tms Rmn" w:cs="Tms Rmn"/>
          <w:color w:val="000000"/>
          <w:sz w:val="24"/>
          <w:szCs w:val="24"/>
        </w:rPr>
        <w:t>n)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3</w:t>
      </w:r>
      <w:r w:rsidR="00BE4E63">
        <w:rPr>
          <w:rFonts w:ascii="Tms Rmn" w:hAnsi="Tms Rmn" w:cs="Tms Rmn"/>
          <w:color w:val="000000"/>
          <w:sz w:val="24"/>
          <w:szCs w:val="24"/>
        </w:rPr>
        <w:t>3,50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Euro</w:t>
      </w:r>
      <w:r w:rsidR="00BE4E63">
        <w:rPr>
          <w:rFonts w:ascii="Tms Rmn" w:hAnsi="Tms Rmn" w:cs="Tms Rmn"/>
          <w:color w:val="000000"/>
          <w:sz w:val="24"/>
          <w:szCs w:val="24"/>
        </w:rPr>
        <w:t xml:space="preserve"> (in Summe 67,-€).</w:t>
      </w:r>
      <w:r w:rsidR="00D20C3F">
        <w:rPr>
          <w:rFonts w:ascii="Tms Rmn" w:hAnsi="Tms Rmn" w:cs="Tms Rmn"/>
          <w:color w:val="000000"/>
          <w:sz w:val="24"/>
          <w:szCs w:val="24"/>
        </w:rPr>
        <w:br/>
      </w:r>
      <w:r w:rsidR="00D20C3F">
        <w:rPr>
          <w:rFonts w:ascii="Tms Rmn" w:hAnsi="Tms Rmn" w:cs="Tms Rmn"/>
          <w:color w:val="000000"/>
          <w:sz w:val="24"/>
          <w:szCs w:val="24"/>
        </w:rPr>
        <w:br/>
        <w:t xml:space="preserve">Sie dürfen die Übernachtung und die Tagungspauschale direkt im Hotel bezahlen. </w:t>
      </w:r>
    </w:p>
    <w:p w14:paraId="10BDAD1F" w14:textId="1047A313" w:rsidR="00BE4E63" w:rsidRPr="00BE4E63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 w:rsidRPr="00BE4E63">
        <w:rPr>
          <w:rFonts w:ascii="Tms Rmn" w:hAnsi="Tms Rmn" w:cs="Tms Rmn"/>
          <w:b/>
          <w:bCs/>
          <w:color w:val="000000"/>
          <w:sz w:val="24"/>
          <w:szCs w:val="24"/>
        </w:rPr>
        <w:t>Abendprogramm: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Ab </w:t>
      </w:r>
      <w:r w:rsidR="00BE4E63">
        <w:rPr>
          <w:rFonts w:ascii="Tms Rmn" w:hAnsi="Tms Rmn" w:cs="Tms Rmn"/>
          <w:color w:val="000000"/>
          <w:sz w:val="24"/>
          <w:szCs w:val="24"/>
        </w:rPr>
        <w:t>19</w:t>
      </w:r>
      <w:r>
        <w:rPr>
          <w:rFonts w:ascii="Tms Rmn" w:hAnsi="Tms Rmn" w:cs="Tms Rmn"/>
          <w:color w:val="000000"/>
          <w:sz w:val="24"/>
          <w:szCs w:val="24"/>
        </w:rPr>
        <w:t xml:space="preserve"> Uhr gibt es im Hotel </w:t>
      </w:r>
      <w:r w:rsidR="00BE4E63">
        <w:rPr>
          <w:rFonts w:ascii="Tms Rmn" w:hAnsi="Tms Rmn" w:cs="Tms Rmn"/>
          <w:color w:val="000000"/>
          <w:sz w:val="24"/>
          <w:szCs w:val="24"/>
        </w:rPr>
        <w:t xml:space="preserve">ein </w:t>
      </w:r>
      <w:r>
        <w:rPr>
          <w:rFonts w:ascii="Tms Rmn" w:hAnsi="Tms Rmn" w:cs="Tms Rmn"/>
          <w:color w:val="000000"/>
          <w:sz w:val="24"/>
          <w:szCs w:val="24"/>
        </w:rPr>
        <w:t>Abendessen, anschließend prüfen wir die Hotelbar. D</w:t>
      </w:r>
      <w:r w:rsidR="00BE4E63">
        <w:rPr>
          <w:rFonts w:ascii="Tms Rmn" w:hAnsi="Tms Rmn" w:cs="Tms Rmn"/>
          <w:color w:val="000000"/>
          <w:sz w:val="24"/>
          <w:szCs w:val="24"/>
        </w:rPr>
        <w:t>as</w:t>
      </w:r>
      <w:r>
        <w:rPr>
          <w:rFonts w:ascii="Tms Rmn" w:hAnsi="Tms Rmn" w:cs="Tms Rmn"/>
          <w:color w:val="000000"/>
          <w:sz w:val="24"/>
          <w:szCs w:val="24"/>
        </w:rPr>
        <w:t xml:space="preserve"> Abendessen wird von </w:t>
      </w:r>
      <w:r w:rsidR="00BE4E63" w:rsidRPr="00BE4E63">
        <w:rPr>
          <w:rFonts w:ascii="Tms Rmn" w:hAnsi="Tms Rmn" w:cs="Tms Rmn"/>
          <w:b/>
          <w:bCs/>
          <w:color w:val="000000"/>
          <w:sz w:val="24"/>
          <w:szCs w:val="24"/>
        </w:rPr>
        <w:t>Rocket Software</w:t>
      </w:r>
      <w:r>
        <w:rPr>
          <w:rFonts w:ascii="Tms Rmn" w:hAnsi="Tms Rmn" w:cs="Tms Rmn"/>
          <w:color w:val="000000"/>
          <w:sz w:val="24"/>
          <w:szCs w:val="24"/>
        </w:rPr>
        <w:t xml:space="preserve"> gesponsert.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14:paraId="29B97C2D" w14:textId="17279FBA"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Sie können bereits JETZT Ihre Reise planen, das Zimmer reservieren und mir formlos per Mailantwort Ihre Teilnahme mitteilen! </w:t>
      </w:r>
    </w:p>
    <w:p w14:paraId="4BDD9ECB" w14:textId="76BE8B40" w:rsidR="00D20C3F" w:rsidRPr="00BE4E63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BE4E63">
        <w:rPr>
          <w:rFonts w:ascii="Tms Rmn" w:hAnsi="Tms Rmn" w:cs="Tms Rmn"/>
          <w:b/>
          <w:bCs/>
          <w:color w:val="000000"/>
          <w:sz w:val="24"/>
          <w:szCs w:val="24"/>
        </w:rPr>
        <w:t>Bitte beachten</w:t>
      </w:r>
      <w:r w:rsidR="00BE4E63">
        <w:rPr>
          <w:rFonts w:ascii="Tms Rmn" w:hAnsi="Tms Rmn" w:cs="Tms Rmn"/>
          <w:b/>
          <w:bCs/>
          <w:color w:val="000000"/>
          <w:sz w:val="24"/>
          <w:szCs w:val="24"/>
        </w:rPr>
        <w:t>!</w:t>
      </w:r>
      <w:r w:rsidRPr="00BE4E63"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14:paraId="1021A06D" w14:textId="6D3CD09A"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Wir müssen bis Anfang </w:t>
      </w:r>
      <w:r w:rsidR="00BE4E63">
        <w:rPr>
          <w:rFonts w:ascii="Tms Rmn" w:hAnsi="Tms Rmn" w:cs="Tms Rmn"/>
          <w:color w:val="000000"/>
          <w:sz w:val="24"/>
          <w:szCs w:val="24"/>
        </w:rPr>
        <w:t>März</w:t>
      </w:r>
      <w:r>
        <w:rPr>
          <w:rFonts w:ascii="Tms Rmn" w:hAnsi="Tms Rmn" w:cs="Tms Rmn"/>
          <w:color w:val="000000"/>
          <w:sz w:val="24"/>
          <w:szCs w:val="24"/>
        </w:rPr>
        <w:t xml:space="preserve"> eine Mindesteilnehmerzahl haben, damit sich die Veranstaltung (Kontingent...Seminarraum...) rechnet! </w:t>
      </w:r>
    </w:p>
    <w:p w14:paraId="2A750D3B" w14:textId="1BB6E560" w:rsidR="00BE4E63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BITTE melden Sie sich daher am besten heute an, damit frühzeitig Planungssicherheit besteht.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Viele Grüße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528A6625" w14:textId="77777777" w:rsidR="00BE4E63" w:rsidRDefault="00BE4E63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</w:p>
    <w:p w14:paraId="75141E6E" w14:textId="7037DF0E"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Rüdiger Schmitt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als Chairman BDBSD-AK GSE </w:t>
      </w:r>
    </w:p>
    <w:p w14:paraId="5FE4A722" w14:textId="61ECB730" w:rsid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</w:p>
    <w:p w14:paraId="656A2953" w14:textId="77777777" w:rsidR="003B4DA8" w:rsidRDefault="003B4DA8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P.S.:</w:t>
      </w:r>
    </w:p>
    <w:p w14:paraId="1EA9AD69" w14:textId="18CF57DB" w:rsidR="00473D86" w:rsidRDefault="00473D86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Die Agenda </w:t>
      </w:r>
      <w:r w:rsidR="00BE4E63">
        <w:rPr>
          <w:rFonts w:ascii="Tms Rmn" w:hAnsi="Tms Rmn" w:cs="Tms Rmn"/>
          <w:color w:val="000000"/>
          <w:sz w:val="24"/>
          <w:szCs w:val="24"/>
        </w:rPr>
        <w:t>liegt diesem Schreiben bei und es gibt noch einen freien Slot am Tag 1</w:t>
      </w:r>
      <w:r>
        <w:rPr>
          <w:rFonts w:ascii="Tms Rmn" w:hAnsi="Tms Rmn" w:cs="Tms Rmn"/>
          <w:color w:val="000000"/>
          <w:sz w:val="24"/>
          <w:szCs w:val="24"/>
        </w:rPr>
        <w:t>, ich freue über jeden Vorschlag! Es muss wirklich nichts Großes sein. Bekannte Themen sind LOBs und REXX und generelle Mainframe-Themen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yeah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der MF lebt und wir sollten auch mal etwas Neues darüber erfahren).</w:t>
      </w:r>
    </w:p>
    <w:p w14:paraId="4C377A9B" w14:textId="7E1A33D4" w:rsidR="00726ED0" w:rsidRPr="00726ED0" w:rsidRDefault="00726ED0" w:rsidP="00726ED0">
      <w:pPr>
        <w:autoSpaceDE w:val="0"/>
        <w:autoSpaceDN w:val="0"/>
        <w:spacing w:before="240"/>
        <w:rPr>
          <w:rFonts w:ascii="Tms Rmn" w:hAnsi="Tms Rmn"/>
          <w:sz w:val="24"/>
          <w:szCs w:val="24"/>
        </w:rPr>
      </w:pPr>
      <w:r w:rsidRPr="00726ED0">
        <w:rPr>
          <w:rFonts w:ascii="Tms Rmn" w:hAnsi="Tms Rmn"/>
          <w:color w:val="000000"/>
          <w:sz w:val="24"/>
          <w:szCs w:val="24"/>
        </w:rPr>
        <w:t>Ebenso lieg</w:t>
      </w:r>
      <w:r>
        <w:rPr>
          <w:rFonts w:ascii="Tms Rmn" w:hAnsi="Tms Rmn"/>
          <w:color w:val="000000"/>
          <w:sz w:val="24"/>
          <w:szCs w:val="24"/>
        </w:rPr>
        <w:t xml:space="preserve">en 2 Dokumente bei, die </w:t>
      </w:r>
      <w:r w:rsidRPr="00726ED0">
        <w:rPr>
          <w:rFonts w:ascii="Tms Rmn" w:hAnsi="Tms Rmn"/>
          <w:color w:val="000000"/>
          <w:sz w:val="24"/>
          <w:szCs w:val="24"/>
        </w:rPr>
        <w:t xml:space="preserve">für die Diskussion/Grundlage für den Slot: </w:t>
      </w:r>
      <w:r>
        <w:rPr>
          <w:rFonts w:ascii="Tms Rmn" w:hAnsi="Tms Rmn"/>
          <w:color w:val="000000"/>
          <w:sz w:val="24"/>
          <w:szCs w:val="24"/>
        </w:rPr>
        <w:t>„A</w:t>
      </w:r>
      <w:r w:rsidRPr="00726ED0">
        <w:rPr>
          <w:rFonts w:ascii="Tms Rmn" w:hAnsi="Tms Rmn"/>
          <w:color w:val="000000"/>
          <w:sz w:val="24"/>
          <w:szCs w:val="24"/>
        </w:rPr>
        <w:t>ktuelle Projekte/Themen im Unternehmen</w:t>
      </w:r>
      <w:r>
        <w:rPr>
          <w:rFonts w:ascii="Tms Rmn" w:hAnsi="Tms Rmn"/>
          <w:color w:val="000000"/>
          <w:sz w:val="24"/>
          <w:szCs w:val="24"/>
        </w:rPr>
        <w:t>“</w:t>
      </w:r>
      <w:r w:rsidRPr="00726ED0">
        <w:rPr>
          <w:rFonts w:ascii="Tms Rmn" w:hAnsi="Tms Rmn"/>
          <w:color w:val="000000"/>
          <w:sz w:val="24"/>
          <w:szCs w:val="24"/>
        </w:rPr>
        <w:t xml:space="preserve"> </w:t>
      </w:r>
      <w:r w:rsidRPr="00726ED0">
        <w:rPr>
          <w:rFonts w:ascii="Tms Rmn" w:hAnsi="Tms Rmn"/>
          <w:sz w:val="24"/>
          <w:szCs w:val="24"/>
        </w:rPr>
        <w:t xml:space="preserve">als Vorlage </w:t>
      </w:r>
      <w:r w:rsidRPr="00726ED0">
        <w:rPr>
          <w:rFonts w:ascii="Tms Rmn" w:hAnsi="Tms Rmn"/>
          <w:color w:val="000000"/>
          <w:sz w:val="24"/>
          <w:szCs w:val="24"/>
        </w:rPr>
        <w:t>nutzen kan</w:t>
      </w:r>
      <w:r w:rsidRPr="00726ED0">
        <w:rPr>
          <w:rFonts w:ascii="Tms Rmn" w:hAnsi="Tms Rmn"/>
          <w:sz w:val="24"/>
          <w:szCs w:val="24"/>
        </w:rPr>
        <w:t xml:space="preserve">n. </w:t>
      </w:r>
    </w:p>
    <w:p w14:paraId="6E6E4BEA" w14:textId="6E4D8515" w:rsidR="00473D86" w:rsidRDefault="00726ED0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Da</w:t>
      </w:r>
      <w:r w:rsidR="00473D86">
        <w:rPr>
          <w:rFonts w:ascii="Tms Rmn" w:hAnsi="Tms Rmn" w:cs="Tms Rmn"/>
          <w:color w:val="000000"/>
          <w:sz w:val="24"/>
          <w:szCs w:val="24"/>
        </w:rPr>
        <w:t xml:space="preserve">nn steht natürlich die Diskussion und Beschlussfassung über die Zukunft dieses Arbeitskreises als TOP </w:t>
      </w:r>
      <w:r w:rsidR="00360A8F">
        <w:rPr>
          <w:rFonts w:ascii="Tms Rmn" w:hAnsi="Tms Rmn" w:cs="Tms Rmn"/>
          <w:color w:val="000000"/>
          <w:sz w:val="24"/>
          <w:szCs w:val="24"/>
        </w:rPr>
        <w:t xml:space="preserve">für den 2. Tag </w:t>
      </w:r>
      <w:r w:rsidR="00473D86">
        <w:rPr>
          <w:rFonts w:ascii="Tms Rmn" w:hAnsi="Tms Rmn" w:cs="Tms Rmn"/>
          <w:color w:val="000000"/>
          <w:sz w:val="24"/>
          <w:szCs w:val="24"/>
        </w:rPr>
        <w:t xml:space="preserve">an. Wir wollen das gemeinsam und auf breiter Basis behandeln! </w:t>
      </w:r>
    </w:p>
    <w:p w14:paraId="513CA599" w14:textId="77777777" w:rsid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</w:p>
    <w:p w14:paraId="1FE061F1" w14:textId="77777777" w:rsidR="00E80328" w:rsidRPr="00E80328" w:rsidRDefault="00E80328" w:rsidP="00E80328"/>
    <w:sectPr w:rsidR="00E80328" w:rsidRPr="00E80328" w:rsidSect="00BE4E63">
      <w:pgSz w:w="12240" w:h="15840"/>
      <w:pgMar w:top="567" w:right="1077" w:bottom="57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DCFB" w14:textId="77777777" w:rsidR="007A3F32" w:rsidRDefault="007A3F32">
      <w:r>
        <w:separator/>
      </w:r>
    </w:p>
    <w:p w14:paraId="30C96965" w14:textId="77777777" w:rsidR="007A3F32" w:rsidRDefault="007A3F32"/>
  </w:endnote>
  <w:endnote w:type="continuationSeparator" w:id="0">
    <w:p w14:paraId="6EE9E34A" w14:textId="77777777" w:rsidR="007A3F32" w:rsidRDefault="007A3F32">
      <w:r>
        <w:continuationSeparator/>
      </w:r>
    </w:p>
    <w:p w14:paraId="1DC17BF4" w14:textId="77777777" w:rsidR="007A3F32" w:rsidRDefault="007A3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84D1" w14:textId="77777777" w:rsidR="007A3F32" w:rsidRDefault="007A3F32">
      <w:r>
        <w:separator/>
      </w:r>
    </w:p>
    <w:p w14:paraId="5021041E" w14:textId="77777777" w:rsidR="007A3F32" w:rsidRDefault="007A3F32"/>
  </w:footnote>
  <w:footnote w:type="continuationSeparator" w:id="0">
    <w:p w14:paraId="4807901C" w14:textId="77777777" w:rsidR="007A3F32" w:rsidRDefault="007A3F32">
      <w:r>
        <w:continuationSeparator/>
      </w:r>
    </w:p>
    <w:p w14:paraId="65305F9B" w14:textId="77777777" w:rsidR="007A3F32" w:rsidRDefault="007A3F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125"/>
    <w:multiLevelType w:val="hybridMultilevel"/>
    <w:tmpl w:val="58B46AFE"/>
    <w:lvl w:ilvl="0" w:tplc="061832A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428A"/>
        <w:sz w:val="24"/>
      </w:rPr>
    </w:lvl>
    <w:lvl w:ilvl="1" w:tplc="8FA05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4A3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E6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604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091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A2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D4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A7D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13191"/>
    <w:multiLevelType w:val="multilevel"/>
    <w:tmpl w:val="BB5088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28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428A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428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280CF2"/>
    <w:multiLevelType w:val="hybridMultilevel"/>
    <w:tmpl w:val="BF26859C"/>
    <w:lvl w:ilvl="0" w:tplc="E1122736">
      <w:start w:val="1"/>
      <w:numFmt w:val="decimal"/>
      <w:pStyle w:val="Aufzhlung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EC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8B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C6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84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CB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4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C9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A6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4A3F"/>
    <w:multiLevelType w:val="multilevel"/>
    <w:tmpl w:val="54CEC5F2"/>
    <w:lvl w:ilvl="0">
      <w:start w:val="1"/>
      <w:numFmt w:val="bullet"/>
      <w:pStyle w:val="Eben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B3" w:themeColor="background2"/>
      </w:rPr>
    </w:lvl>
    <w:lvl w:ilvl="1">
      <w:start w:val="1"/>
      <w:numFmt w:val="bullet"/>
      <w:pStyle w:val="Ebene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66B3" w:themeColor="background2"/>
      </w:rPr>
    </w:lvl>
    <w:lvl w:ilvl="2">
      <w:start w:val="1"/>
      <w:numFmt w:val="bullet"/>
      <w:pStyle w:val="Ebene3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66B3" w:themeColor="background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8C11C8"/>
    <w:multiLevelType w:val="hybridMultilevel"/>
    <w:tmpl w:val="B9A8F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F379A"/>
    <w:multiLevelType w:val="multilevel"/>
    <w:tmpl w:val="885CBF8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3F"/>
    <w:rsid w:val="00060AF4"/>
    <w:rsid w:val="0007420D"/>
    <w:rsid w:val="00175825"/>
    <w:rsid w:val="001765E2"/>
    <w:rsid w:val="001C3464"/>
    <w:rsid w:val="001C5B17"/>
    <w:rsid w:val="00216A70"/>
    <w:rsid w:val="00220199"/>
    <w:rsid w:val="00245D4F"/>
    <w:rsid w:val="0026074A"/>
    <w:rsid w:val="003106C5"/>
    <w:rsid w:val="00360A8F"/>
    <w:rsid w:val="00385FFC"/>
    <w:rsid w:val="003B4DA8"/>
    <w:rsid w:val="0047145E"/>
    <w:rsid w:val="0047211B"/>
    <w:rsid w:val="00473D86"/>
    <w:rsid w:val="004C2CFA"/>
    <w:rsid w:val="005422B1"/>
    <w:rsid w:val="005556B4"/>
    <w:rsid w:val="005856E4"/>
    <w:rsid w:val="005D3D33"/>
    <w:rsid w:val="0062308D"/>
    <w:rsid w:val="006260CC"/>
    <w:rsid w:val="00672E5C"/>
    <w:rsid w:val="006B2B64"/>
    <w:rsid w:val="006C4363"/>
    <w:rsid w:val="0071082D"/>
    <w:rsid w:val="00726ED0"/>
    <w:rsid w:val="00764801"/>
    <w:rsid w:val="007A3F32"/>
    <w:rsid w:val="008465D9"/>
    <w:rsid w:val="008772EC"/>
    <w:rsid w:val="008850C1"/>
    <w:rsid w:val="008C47AC"/>
    <w:rsid w:val="00970195"/>
    <w:rsid w:val="009D0577"/>
    <w:rsid w:val="009D7EB4"/>
    <w:rsid w:val="009E2260"/>
    <w:rsid w:val="00A057E0"/>
    <w:rsid w:val="00A36C5A"/>
    <w:rsid w:val="00A45799"/>
    <w:rsid w:val="00AE1EC3"/>
    <w:rsid w:val="00AE73E2"/>
    <w:rsid w:val="00AF0283"/>
    <w:rsid w:val="00AF11EC"/>
    <w:rsid w:val="00BA4C02"/>
    <w:rsid w:val="00BE4E63"/>
    <w:rsid w:val="00C32EBA"/>
    <w:rsid w:val="00C33224"/>
    <w:rsid w:val="00C422BD"/>
    <w:rsid w:val="00C474FB"/>
    <w:rsid w:val="00CE28A1"/>
    <w:rsid w:val="00D04297"/>
    <w:rsid w:val="00D20C3F"/>
    <w:rsid w:val="00DA2343"/>
    <w:rsid w:val="00E80328"/>
    <w:rsid w:val="00EE1E46"/>
    <w:rsid w:val="00F00562"/>
    <w:rsid w:val="00F1457B"/>
    <w:rsid w:val="00F23B5B"/>
    <w:rsid w:val="00FD2902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091D"/>
  <w15:chartTrackingRefBased/>
  <w15:docId w15:val="{56AC409F-4840-4CC0-B51B-4624A3B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Fließtext"/>
    <w:qFormat/>
    <w:rsid w:val="00FD2902"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after="240"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after="2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after="2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after="2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after="260"/>
      <w:outlineLvl w:val="4"/>
    </w:p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3"/>
      </w:numPr>
      <w:spacing w:before="240" w:after="60"/>
      <w:outlineLvl w:val="5"/>
    </w:pPr>
    <w:rPr>
      <w:rFonts w:ascii="Times" w:hAnsi="Times"/>
      <w:b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3"/>
      </w:numPr>
      <w:spacing w:before="240" w:after="60"/>
      <w:outlineLvl w:val="6"/>
    </w:pPr>
    <w:rPr>
      <w:rFonts w:ascii="Times" w:hAnsi="Times"/>
      <w:sz w:val="24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3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3"/>
      </w:num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2">
    <w:name w:val="Ebene 2"/>
    <w:basedOn w:val="Ebene1"/>
    <w:qFormat/>
    <w:rsid w:val="00E80328"/>
    <w:pPr>
      <w:numPr>
        <w:ilvl w:val="1"/>
      </w:numPr>
    </w:pPr>
  </w:style>
  <w:style w:type="paragraph" w:customStyle="1" w:styleId="Ebene3">
    <w:name w:val="Ebene 3"/>
    <w:basedOn w:val="Ebene2"/>
    <w:qFormat/>
    <w:rsid w:val="00E80328"/>
    <w:pPr>
      <w:numPr>
        <w:ilvl w:val="2"/>
      </w:numPr>
    </w:pPr>
  </w:style>
  <w:style w:type="paragraph" w:customStyle="1" w:styleId="Aufzhlungen">
    <w:name w:val="Aufzählungen"/>
    <w:basedOn w:val="Standard"/>
    <w:pPr>
      <w:numPr>
        <w:numId w:val="2"/>
      </w:numPr>
      <w:tabs>
        <w:tab w:val="clear" w:pos="720"/>
        <w:tab w:val="left" w:pos="357"/>
      </w:tabs>
      <w:ind w:left="170" w:hanging="170"/>
    </w:pPr>
  </w:style>
  <w:style w:type="character" w:customStyle="1" w:styleId="Tabellenberschriftenwei">
    <w:name w:val="Tabellenüberschriften weiß"/>
    <w:basedOn w:val="Absatz-Standardschriftart"/>
    <w:rPr>
      <w:rFonts w:ascii="Arial" w:hAnsi="Arial"/>
      <w:b/>
      <w:dstrike w:val="0"/>
      <w:color w:val="FFFFFF"/>
      <w:sz w:val="22"/>
      <w:u w:val="none"/>
      <w:vertAlign w:val="baseline"/>
    </w:rPr>
  </w:style>
  <w:style w:type="paragraph" w:styleId="Verzeichnis1">
    <w:name w:val="toc 1"/>
    <w:basedOn w:val="Standard"/>
    <w:next w:val="Standard"/>
    <w:autoRedefine/>
    <w:semiHidden/>
    <w:rsid w:val="003106C5"/>
  </w:style>
  <w:style w:type="paragraph" w:customStyle="1" w:styleId="berschriftimText">
    <w:name w:val="Überschrift im Text"/>
    <w:basedOn w:val="Standard"/>
    <w:next w:val="Standard"/>
    <w:rsid w:val="00FD2902"/>
    <w:pPr>
      <w:spacing w:after="120"/>
    </w:pPr>
    <w:rPr>
      <w:b/>
      <w:sz w:val="24"/>
    </w:rPr>
  </w:style>
  <w:style w:type="paragraph" w:styleId="Fuzeile">
    <w:name w:val="footer"/>
    <w:basedOn w:val="Standard"/>
    <w:rsid w:val="0007420D"/>
    <w:pPr>
      <w:tabs>
        <w:tab w:val="center" w:pos="4820"/>
        <w:tab w:val="right" w:pos="9639"/>
      </w:tabs>
    </w:pPr>
  </w:style>
  <w:style w:type="paragraph" w:customStyle="1" w:styleId="Hauptberschrift1">
    <w:name w:val="Hauptüberschrift 1"/>
    <w:basedOn w:val="Standard"/>
    <w:next w:val="berschrift1"/>
    <w:qFormat/>
    <w:rsid w:val="00220199"/>
    <w:pPr>
      <w:spacing w:after="760"/>
    </w:pPr>
    <w:rPr>
      <w:b/>
      <w:color w:val="0066B3" w:themeColor="background2"/>
      <w:sz w:val="30"/>
      <w:szCs w:val="30"/>
    </w:rPr>
  </w:style>
  <w:style w:type="paragraph" w:styleId="Kopfzeile">
    <w:name w:val="header"/>
    <w:basedOn w:val="Standard"/>
    <w:rsid w:val="0007420D"/>
    <w:pPr>
      <w:tabs>
        <w:tab w:val="center" w:pos="4820"/>
        <w:tab w:val="right" w:pos="9639"/>
      </w:tabs>
    </w:pPr>
  </w:style>
  <w:style w:type="paragraph" w:styleId="Verzeichnis2">
    <w:name w:val="toc 2"/>
    <w:basedOn w:val="Standard"/>
    <w:next w:val="Standard"/>
    <w:autoRedefine/>
    <w:semiHidden/>
    <w:rsid w:val="003106C5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3106C5"/>
    <w:pPr>
      <w:ind w:left="440"/>
    </w:pPr>
  </w:style>
  <w:style w:type="character" w:styleId="Hyperlink">
    <w:name w:val="Hyperlink"/>
    <w:basedOn w:val="Absatz-Standardschriftart"/>
    <w:rsid w:val="003106C5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3106C5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3106C5"/>
    <w:pPr>
      <w:ind w:left="880"/>
    </w:pPr>
  </w:style>
  <w:style w:type="paragraph" w:customStyle="1" w:styleId="Ebene1">
    <w:name w:val="Ebene 1"/>
    <w:basedOn w:val="Standard"/>
    <w:qFormat/>
    <w:rsid w:val="00E80328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FD2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90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D86"/>
    <w:rPr>
      <w:color w:val="605E5C"/>
      <w:shd w:val="clear" w:color="auto" w:fill="E1DFDD"/>
    </w:rPr>
  </w:style>
  <w:style w:type="paragraph" w:customStyle="1" w:styleId="Default">
    <w:name w:val="Default"/>
    <w:rsid w:val="001C5B17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ubenhof@ariva-hot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ubenhof.bestwe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iducia-Design">
  <a:themeElements>
    <a:clrScheme name="Fiducia GAD Farben 01">
      <a:dk1>
        <a:sysClr val="windowText" lastClr="000000"/>
      </a:dk1>
      <a:lt1>
        <a:sysClr val="window" lastClr="FFFFFF"/>
      </a:lt1>
      <a:dk2>
        <a:srgbClr val="FFFFFF"/>
      </a:dk2>
      <a:lt2>
        <a:srgbClr val="0066B3"/>
      </a:lt2>
      <a:accent1>
        <a:srgbClr val="87D0EA"/>
      </a:accent1>
      <a:accent2>
        <a:srgbClr val="D10A45"/>
      </a:accent2>
      <a:accent3>
        <a:srgbClr val="FACB41"/>
      </a:accent3>
      <a:accent4>
        <a:srgbClr val="56BCB1"/>
      </a:accent4>
      <a:accent5>
        <a:srgbClr val="8AC056"/>
      </a:accent5>
      <a:accent6>
        <a:srgbClr val="DB4E7A"/>
      </a:accent6>
      <a:hlink>
        <a:srgbClr val="A0509A"/>
      </a:hlink>
      <a:folHlink>
        <a:srgbClr val="FF6600"/>
      </a:folHlink>
    </a:clrScheme>
    <a:fontScheme name="Fiducia-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accent1"/>
          </a:solidFill>
        </a:ln>
      </a:spPr>
      <a:bodyPr lIns="0" tIns="0" rIns="0" bIns="0" rtlCol="0" anchor="ctr"/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2020-01-22T06:56:00Z</dcterms:created>
  <dcterms:modified xsi:type="dcterms:W3CDTF">2020-02-10T14:47:00Z</dcterms:modified>
</cp:coreProperties>
</file>